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11"/>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(Quotation Deadline)</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2B244E">
              <w:rPr>
                <w:rFonts w:ascii="Times New Roman" w:eastAsiaTheme="minorEastAsia"/>
                <w:b/>
                <w:bCs/>
                <w:color w:val="FF0000"/>
                <w:sz w:val="24"/>
                <w:szCs w:val="24"/>
                <w:highlight w:val="yellow"/>
                <w:lang w:val="en-US" w:eastAsia="ja-JP"/>
              </w:rPr>
              <w:t>21</w:t>
            </w:r>
            <w:r w:rsidR="00EB06DC">
              <w:rPr>
                <w:rFonts w:ascii="Times New Roman" w:eastAsiaTheme="minorEastAsia"/>
                <w:b/>
                <w:bCs/>
                <w:color w:val="FF0000"/>
                <w:sz w:val="24"/>
                <w:szCs w:val="24"/>
                <w:highlight w:val="yellow"/>
                <w:lang w:val="en-US" w:eastAsia="ja-JP"/>
              </w:rPr>
              <w:t xml:space="preserve"> March </w:t>
            </w:r>
            <w:r w:rsidR="00C3235A">
              <w:rPr>
                <w:rFonts w:ascii="Times New Roman" w:eastAsiaTheme="minorEastAsia"/>
                <w:b/>
                <w:bCs/>
                <w:color w:val="FF0000"/>
                <w:sz w:val="24"/>
                <w:szCs w:val="24"/>
                <w:highlight w:val="yellow"/>
                <w:lang w:val="en-US" w:eastAsia="ja-JP"/>
              </w:rPr>
              <w:t>2019</w:t>
            </w:r>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2"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cnfStyle w:val="001000000000" w:firstRow="0" w:lastRow="0" w:firstColumn="1" w:lastColumn="0" w:oddVBand="0" w:evenVBand="0" w:oddHBand="0" w:evenHBand="0" w:firstRowFirstColumn="0" w:firstRowLastColumn="0" w:lastRowFirstColumn="0" w:lastRowLastColumn="0"/>
            <w:tcW w:w="4590" w:type="dxa"/>
            <w:gridSpan w:val="2"/>
            <w:tcBorders>
              <w:left w:val="single" w:sz="4" w:space="0" w:color="C00000"/>
              <w:right w:val="single" w:sz="4" w:space="0" w:color="C00000"/>
            </w:tcBorders>
          </w:tcPr>
          <w:p w:rsidR="00EA5EBF" w:rsidRPr="003D3031" w:rsidRDefault="00EA5EBF" w:rsidP="00EA5EBF">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EA5EBF" w:rsidP="00EA5EBF">
            <w:pPr>
              <w:cnfStyle w:val="000000000000" w:firstRow="0" w:lastRow="0" w:firstColumn="0" w:lastColumn="0" w:oddVBand="0" w:evenVBand="0" w:oddHBand="0"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2B244E">
              <w:rPr>
                <w:rFonts w:ascii="Times New Roman" w:eastAsiaTheme="minorEastAsia"/>
                <w:b/>
                <w:bCs/>
                <w:color w:val="FF0000"/>
                <w:sz w:val="24"/>
                <w:szCs w:val="24"/>
                <w:highlight w:val="yellow"/>
                <w:lang w:val="en-US" w:eastAsia="ja-JP"/>
              </w:rPr>
              <w:t>1</w:t>
            </w:r>
            <w:r w:rsidR="004944D5">
              <w:rPr>
                <w:rFonts w:ascii="Times New Roman" w:eastAsiaTheme="minorEastAsia"/>
                <w:b/>
                <w:bCs/>
                <w:color w:val="FF0000"/>
                <w:sz w:val="24"/>
                <w:szCs w:val="24"/>
                <w:highlight w:val="yellow"/>
                <w:lang w:val="en-US" w:eastAsia="ja-JP"/>
              </w:rPr>
              <w:t>8</w:t>
            </w:r>
            <w:r w:rsidR="00EB06DC">
              <w:rPr>
                <w:rFonts w:ascii="Times New Roman" w:eastAsiaTheme="minorEastAsia"/>
                <w:b/>
                <w:bCs/>
                <w:color w:val="FF0000"/>
                <w:sz w:val="24"/>
                <w:szCs w:val="24"/>
                <w:highlight w:val="yellow"/>
                <w:lang w:val="en-US" w:eastAsia="ja-JP"/>
              </w:rPr>
              <w:t xml:space="preserve"> March</w:t>
            </w:r>
            <w:r w:rsidR="00C3235A">
              <w:rPr>
                <w:rFonts w:ascii="Times New Roman" w:eastAsiaTheme="minorEastAsia"/>
                <w:b/>
                <w:bCs/>
                <w:color w:val="FF0000"/>
                <w:sz w:val="24"/>
                <w:szCs w:val="24"/>
                <w:highlight w:val="yellow"/>
                <w:lang w:val="en-US" w:eastAsia="ja-JP"/>
              </w:rPr>
              <w:t xml:space="preserve"> 2019</w:t>
            </w:r>
            <w:r w:rsidRPr="003D3031">
              <w:rPr>
                <w:rFonts w:ascii="Times New Roman" w:eastAsiaTheme="minorEastAsia"/>
                <w:b/>
                <w:bCs/>
                <w:color w:val="FF0000"/>
                <w:sz w:val="24"/>
                <w:szCs w:val="24"/>
                <w:highlight w:val="yellow"/>
                <w:lang w:val="en-US" w:eastAsia="ja-JP"/>
              </w:rPr>
              <w:t>)</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3"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From:-</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E83AED" w:rsidRPr="00164EDE" w:rsidRDefault="00E83AED" w:rsidP="003D3031">
            <w:pPr>
              <w:numPr>
                <w:ilvl w:val="0"/>
                <w:numId w:val="2"/>
              </w:numPr>
              <w:spacing w:line="276" w:lineRule="auto"/>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3 previous comparable contracts / experience, involving delivering the art form required under this RFQ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tcBorders>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tcBorders>
            <w:shd w:val="clear" w:color="auto" w:fill="DEEAF6" w:themeFill="accent1" w:themeFillTint="33"/>
            <w:hideMark/>
          </w:tcPr>
          <w:p w:rsidR="00D839A1" w:rsidRPr="003D3031" w:rsidRDefault="00D839A1"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1C4375">
      <w:pPr>
        <w:pStyle w:val="Heading1"/>
      </w:pPr>
      <w:bookmarkStart w:id="0" w:name="_Toc536013548"/>
      <w:r>
        <w:t xml:space="preserve">Table A1 - Previous Contracts / Experience – </w:t>
      </w:r>
      <w:bookmarkStart w:id="1" w:name="_Hlk523749692"/>
      <w:r>
        <w:t>Pass/Fail Criteria</w:t>
      </w:r>
      <w:bookmarkEnd w:id="0"/>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93"/>
        <w:gridCol w:w="1276"/>
        <w:gridCol w:w="603"/>
        <w:gridCol w:w="852"/>
        <w:gridCol w:w="1985"/>
      </w:tblGrid>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rsidP="001C4375">
            <w:pPr>
              <w:jc w:val="center"/>
              <w:rPr>
                <w:b/>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jc w:val="center"/>
              <w:rPr>
                <w:color w:val="FF0000"/>
                <w:lang w:val="en-IE"/>
              </w:rPr>
            </w:pPr>
            <w:r>
              <w:rPr>
                <w:b/>
                <w:lang w:val="en-IE"/>
              </w:rPr>
              <w:t xml:space="preserve">Delivering the Art form required under this RFQ through workshops to </w:t>
            </w:r>
            <w:proofErr w:type="gramStart"/>
            <w:r>
              <w:rPr>
                <w:b/>
                <w:lang w:val="en-IE"/>
              </w:rPr>
              <w:t>a number</w:t>
            </w:r>
            <w:r w:rsidR="00EB06DC">
              <w:rPr>
                <w:b/>
                <w:lang w:val="en-IE"/>
              </w:rPr>
              <w:t xml:space="preserve"> </w:t>
            </w:r>
            <w:r>
              <w:rPr>
                <w:b/>
                <w:lang w:val="en-IE"/>
              </w:rPr>
              <w:t>of</w:t>
            </w:r>
            <w:proofErr w:type="gramEnd"/>
            <w:r>
              <w:rPr>
                <w:b/>
                <w:lang w:val="en-IE"/>
              </w:rPr>
              <w:t xml:space="preserve"> participants. </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8163E7" w:rsidRDefault="008163E7">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lastRenderedPageBreak/>
              <w:t>Reference Contract #3</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bl>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lastRenderedPageBreak/>
        <w:t>Section B – Award Criteria (based on 100% Price)</w:t>
      </w:r>
    </w:p>
    <w:p w:rsidR="0013477C" w:rsidRPr="003D3031"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 xml:space="preserve">programme designed by the artist facilitator to provide 26 contact hours </w:t>
            </w:r>
            <w:r w:rsidR="00876CFD">
              <w:rPr>
                <w:rFonts w:ascii="Times New Roman" w:hAnsi="Times New Roman" w:cs="Times New Roman"/>
                <w:sz w:val="24"/>
                <w:szCs w:val="24"/>
              </w:rPr>
              <w:t xml:space="preserve">and showcase time if required </w:t>
            </w:r>
            <w:r w:rsidR="00553523" w:rsidRPr="008163E7">
              <w:rPr>
                <w:rFonts w:ascii="Times New Roman" w:hAnsi="Times New Roman" w:cs="Times New Roman"/>
                <w:sz w:val="24"/>
                <w:szCs w:val="24"/>
              </w:rPr>
              <w:t>with participants as specified in the RFQ and specification</w:t>
            </w:r>
            <w:r w:rsidRPr="003D3031">
              <w:rPr>
                <w:rFonts w:ascii="Times New Roman" w:hAnsi="Times New Roman" w:cs="Times New Roman"/>
                <w:sz w:val="24"/>
                <w:szCs w:val="24"/>
              </w:rPr>
              <w:t>.</w:t>
            </w:r>
            <w:r w:rsidR="006C52DF">
              <w:rPr>
                <w:rFonts w:ascii="Times New Roman" w:hAnsi="Times New Roman" w:cs="Times New Roman"/>
                <w:sz w:val="24"/>
                <w:szCs w:val="24"/>
              </w:rPr>
              <w:t xml:space="preserve"> Specify hourly fee.</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r w:rsidR="00EB2581" w:rsidRPr="003D3031" w:rsidTr="00BB2344">
        <w:tc>
          <w:tcPr>
            <w:tcW w:w="3483" w:type="dxa"/>
            <w:shd w:val="clear" w:color="auto" w:fill="D9D9D9" w:themeFill="background1" w:themeFillShade="D9"/>
          </w:tcPr>
          <w:p w:rsidR="00EB2581" w:rsidRPr="003D3031" w:rsidRDefault="00EB2581" w:rsidP="00946DB4">
            <w:pPr>
              <w:rPr>
                <w:rFonts w:ascii="Times New Roman" w:hAnsi="Times New Roman" w:cs="Times New Roman"/>
                <w:sz w:val="24"/>
                <w:szCs w:val="24"/>
              </w:rPr>
            </w:pPr>
            <w:r>
              <w:rPr>
                <w:rFonts w:ascii="Times New Roman" w:hAnsi="Times New Roman" w:cs="Times New Roman"/>
                <w:sz w:val="24"/>
                <w:szCs w:val="24"/>
              </w:rPr>
              <w:t>Costs for Materials.  This must include all and any other relevant costs.</w:t>
            </w:r>
          </w:p>
        </w:tc>
        <w:tc>
          <w:tcPr>
            <w:tcW w:w="2191" w:type="dxa"/>
          </w:tcPr>
          <w:p w:rsidR="00EB2581" w:rsidRPr="003D3031" w:rsidRDefault="00EB2581" w:rsidP="00BB2344">
            <w:pPr>
              <w:rPr>
                <w:rFonts w:ascii="Times New Roman" w:hAnsi="Times New Roman" w:cs="Times New Roman"/>
                <w:sz w:val="24"/>
                <w:szCs w:val="24"/>
              </w:rPr>
            </w:pPr>
          </w:p>
        </w:tc>
        <w:tc>
          <w:tcPr>
            <w:tcW w:w="1267" w:type="dxa"/>
          </w:tcPr>
          <w:p w:rsidR="00EB2581" w:rsidRPr="003D3031" w:rsidRDefault="00EB2581" w:rsidP="00BB2344">
            <w:pPr>
              <w:rPr>
                <w:rFonts w:ascii="Times New Roman" w:hAnsi="Times New Roman" w:cs="Times New Roman"/>
                <w:sz w:val="24"/>
                <w:szCs w:val="24"/>
              </w:rPr>
            </w:pPr>
          </w:p>
        </w:tc>
        <w:tc>
          <w:tcPr>
            <w:tcW w:w="1985" w:type="dxa"/>
          </w:tcPr>
          <w:p w:rsidR="00EB2581" w:rsidRPr="003D3031" w:rsidRDefault="00EB2581"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2"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3"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3"/>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Fully understand the Contracting Authority’s requirements and have availed of all offers for additional information or have otherwise satisfied myself/ourselves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2"/>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946DB4" w:rsidRPr="00946DB4" w:rsidRDefault="00946DB4" w:rsidP="00EB06DC">
      <w:pPr>
        <w:pStyle w:val="BodyText3"/>
        <w:rPr>
          <w:b/>
          <w:sz w:val="24"/>
          <w:szCs w:val="24"/>
        </w:rPr>
      </w:pPr>
      <w:r w:rsidRPr="003D3031">
        <w:rPr>
          <w:rFonts w:ascii="Times New Roman" w:hAnsi="Times New Roman" w:cs="Times New Roman"/>
          <w:sz w:val="24"/>
          <w:szCs w:val="24"/>
        </w:rPr>
        <w:lastRenderedPageBreak/>
        <w:t xml:space="preserve"> </w:t>
      </w:r>
      <w:bookmarkStart w:id="4" w:name="_Toc195681197"/>
      <w:bookmarkStart w:id="5" w:name="_Toc491591388"/>
      <w:r w:rsidR="00EA5EBF">
        <w:rPr>
          <w:b/>
          <w:sz w:val="24"/>
          <w:szCs w:val="24"/>
        </w:rPr>
        <w:t>Further Instructions to Bidders Quoting</w:t>
      </w:r>
      <w:bookmarkEnd w:id="4"/>
      <w:bookmarkEnd w:id="5"/>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6" w:name="_Toc391403799"/>
      <w:bookmarkStart w:id="7" w:name="_Toc490418858"/>
      <w:bookmarkStart w:id="8" w:name="_Toc491591389"/>
      <w:bookmarkStart w:id="9" w:name="_Toc217713501"/>
      <w:bookmarkStart w:id="10" w:name="_Toc391403802"/>
      <w:r w:rsidRPr="007D0699">
        <w:rPr>
          <w:rFonts w:ascii="Times New Roman" w:hAnsi="Times New Roman" w:cs="Times New Roman"/>
        </w:rPr>
        <w:t>Closing Date</w:t>
      </w:r>
      <w:bookmarkEnd w:id="6"/>
      <w:bookmarkEnd w:id="7"/>
      <w:bookmarkEnd w:id="8"/>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1" w:name="_Toc490418859"/>
      <w:bookmarkStart w:id="12" w:name="_Toc491591390"/>
      <w:bookmarkStart w:id="13" w:name="_Toc217713492"/>
      <w:bookmarkStart w:id="14" w:name="_Toc391403800"/>
      <w:r w:rsidRPr="007D0699">
        <w:rPr>
          <w:rFonts w:ascii="Times New Roman" w:hAnsi="Times New Roman" w:cs="Times New Roman"/>
        </w:rPr>
        <w:t>Submission of Quotations</w:t>
      </w:r>
      <w:bookmarkEnd w:id="11"/>
      <w:bookmarkEnd w:id="12"/>
    </w:p>
    <w:p w:rsidR="00EA5EBF" w:rsidRDefault="00946DB4" w:rsidP="00EA5EBF">
      <w:pPr>
        <w:spacing w:after="0" w:line="240" w:lineRule="auto"/>
        <w:rPr>
          <w:rFonts w:ascii="Times New Roman" w:hAnsi="Times New Roman" w:cs="Times New Roman"/>
        </w:rPr>
      </w:pPr>
      <w:bookmarkStart w:id="15"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6" w:name="_Toc490418860"/>
      <w:bookmarkStart w:id="17" w:name="_Toc491591391"/>
      <w:bookmarkEnd w:id="15"/>
      <w:r w:rsidRPr="007D0699">
        <w:rPr>
          <w:rFonts w:ascii="Times New Roman" w:hAnsi="Times New Roman" w:cs="Times New Roman"/>
        </w:rPr>
        <w:t>Queries</w:t>
      </w:r>
      <w:bookmarkEnd w:id="13"/>
      <w:bookmarkEnd w:id="14"/>
      <w:bookmarkEnd w:id="16"/>
      <w:bookmarkEnd w:id="17"/>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and in any case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8" w:name="_Toc491591392"/>
      <w:r w:rsidRPr="007D0699">
        <w:rPr>
          <w:rFonts w:ascii="Times New Roman" w:hAnsi="Times New Roman" w:cs="Times New Roman"/>
        </w:rPr>
        <w:t>Validity Period</w:t>
      </w:r>
      <w:bookmarkEnd w:id="9"/>
      <w:bookmarkEnd w:id="10"/>
      <w:bookmarkEnd w:id="18"/>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19" w:name="_Toc491591376"/>
      <w:r w:rsidRPr="007D0699">
        <w:rPr>
          <w:rFonts w:ascii="Times New Roman" w:eastAsiaTheme="majorEastAsia" w:hAnsi="Times New Roman"/>
          <w:b/>
          <w:bCs/>
          <w:color w:val="5B9BD5" w:themeColor="accent1"/>
          <w:sz w:val="22"/>
          <w:szCs w:val="22"/>
        </w:rPr>
        <w:t>Specification of Requirements</w:t>
      </w:r>
      <w:bookmarkEnd w:id="19"/>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0" w:name="_Toc491591377"/>
      <w:r w:rsidRPr="00164EDE">
        <w:rPr>
          <w:rFonts w:ascii="Times New Roman" w:eastAsiaTheme="majorEastAsia" w:hAnsi="Times New Roman"/>
          <w:b/>
          <w:bCs/>
          <w:color w:val="5B9BD5" w:themeColor="accent1"/>
          <w:sz w:val="22"/>
          <w:szCs w:val="22"/>
        </w:rPr>
        <w:t>Delivery Locations</w:t>
      </w:r>
      <w:bookmarkEnd w:id="20"/>
    </w:p>
    <w:p w:rsidR="00553523" w:rsidRPr="00164EDE" w:rsidRDefault="00553523" w:rsidP="00553523">
      <w:pPr>
        <w:spacing w:after="0" w:line="240" w:lineRule="auto"/>
        <w:jc w:val="both"/>
        <w:rPr>
          <w:rFonts w:ascii="Times New Roman" w:hAnsi="Times New Roman" w:cs="Times New Roman"/>
          <w:i/>
        </w:rPr>
      </w:pPr>
      <w:bookmarkStart w:id="21"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2" w:name="_Toc491591379"/>
      <w:bookmarkEnd w:id="21"/>
      <w:r w:rsidRPr="007D0699">
        <w:rPr>
          <w:rFonts w:ascii="Times New Roman" w:eastAsiaTheme="majorEastAsia" w:hAnsi="Times New Roman"/>
          <w:b/>
          <w:bCs/>
          <w:color w:val="5B9BD5" w:themeColor="accent1"/>
          <w:sz w:val="22"/>
          <w:szCs w:val="22"/>
        </w:rPr>
        <w:t>Pricing</w:t>
      </w:r>
      <w:bookmarkEnd w:id="22"/>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costs/expenses/indexation),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 – Standard Terms and Conditions.</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3" w:name="_Toc217713502"/>
      <w:bookmarkStart w:id="24" w:name="_Toc391403803"/>
      <w:bookmarkStart w:id="25" w:name="_Toc491591393"/>
      <w:r w:rsidRPr="007D0699">
        <w:rPr>
          <w:rFonts w:ascii="Times New Roman" w:hAnsi="Times New Roman" w:cs="Times New Roman"/>
        </w:rPr>
        <w:t>Confidentiality</w:t>
      </w:r>
      <w:bookmarkEnd w:id="23"/>
      <w:bookmarkEnd w:id="24"/>
      <w:bookmarkEnd w:id="25"/>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6" w:name="_Toc217713503"/>
      <w:bookmarkStart w:id="27" w:name="_Toc391403804"/>
      <w:bookmarkStart w:id="28" w:name="_Toc491591394"/>
      <w:r w:rsidRPr="007D0699">
        <w:rPr>
          <w:rFonts w:ascii="Times New Roman" w:hAnsi="Times New Roman" w:cs="Times New Roman"/>
        </w:rPr>
        <w:t>Conflict of Interest</w:t>
      </w:r>
      <w:bookmarkEnd w:id="26"/>
      <w:bookmarkEnd w:id="27"/>
      <w:bookmarkEnd w:id="28"/>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9" w:name="_Toc217713504"/>
      <w:bookmarkStart w:id="30" w:name="_Toc391403805"/>
      <w:bookmarkStart w:id="31" w:name="_Toc491591395"/>
      <w:r w:rsidRPr="007D0699">
        <w:rPr>
          <w:rFonts w:ascii="Times New Roman" w:hAnsi="Times New Roman" w:cs="Times New Roman"/>
        </w:rPr>
        <w:t>Freedom of Information Acts</w:t>
      </w:r>
      <w:bookmarkEnd w:id="29"/>
      <w:bookmarkEnd w:id="30"/>
      <w:bookmarkEnd w:id="31"/>
    </w:p>
    <w:p w:rsidR="007D0699" w:rsidRPr="007D0699" w:rsidRDefault="007D0699" w:rsidP="00EA5EBF">
      <w:pPr>
        <w:spacing w:after="0" w:line="240" w:lineRule="auto"/>
        <w:rPr>
          <w:rFonts w:ascii="Times New Roman" w:hAnsi="Times New Roman" w:cs="Times New Roman"/>
        </w:rPr>
      </w:pPr>
      <w:bookmarkStart w:id="32" w:name="_Toc217713505"/>
      <w:bookmarkStart w:id="33"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t>Firms are asked to consider if any of the information supplied by them in response to this request for quotation should not be disclosed because of its sensitivity. If this is the case, firms should specify the 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4" w:name="_Toc491591396"/>
      <w:bookmarkStart w:id="35" w:name="_Toc490418865"/>
      <w:r w:rsidRPr="007D0699">
        <w:rPr>
          <w:rFonts w:ascii="Times New Roman" w:hAnsi="Times New Roman" w:cs="Times New Roman"/>
        </w:rPr>
        <w:lastRenderedPageBreak/>
        <w:t>Data Protection</w:t>
      </w:r>
      <w:bookmarkEnd w:id="34"/>
      <w:r w:rsidRPr="007D0699">
        <w:rPr>
          <w:rFonts w:ascii="Times New Roman" w:hAnsi="Times New Roman" w:cs="Times New Roman"/>
        </w:rPr>
        <w:t xml:space="preserve"> </w:t>
      </w:r>
      <w:bookmarkEnd w:id="35"/>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6" w:name="_Toc195681230"/>
      <w:bookmarkStart w:id="37" w:name="_Toc195673950"/>
      <w:bookmarkStart w:id="38" w:name="_Toc195672606"/>
      <w:bookmarkStart w:id="39" w:name="_Toc391403814"/>
      <w:bookmarkStart w:id="40" w:name="_Toc491591403"/>
      <w:bookmarkEnd w:id="32"/>
      <w:bookmarkEnd w:id="33"/>
      <w:r w:rsidRPr="007D0699">
        <w:rPr>
          <w:rFonts w:ascii="Times New Roman" w:hAnsi="Times New Roman" w:cs="Times New Roman"/>
        </w:rPr>
        <w:t>Copyright</w:t>
      </w:r>
      <w:bookmarkEnd w:id="36"/>
      <w:bookmarkEnd w:id="37"/>
      <w:bookmarkEnd w:id="38"/>
      <w:bookmarkEnd w:id="39"/>
      <w:bookmarkEnd w:id="40"/>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 xml:space="preserve">shall </w:t>
      </w:r>
      <w:proofErr w:type="gramStart"/>
      <w:r w:rsidR="00EA5EBF" w:rsidRPr="007D0699">
        <w:rPr>
          <w:rFonts w:ascii="Times New Roman" w:eastAsia="Calibri" w:hAnsi="Times New Roman" w:cs="Times New Roman"/>
          <w:lang w:val="en-IE"/>
        </w:rPr>
        <w:t>at all times</w:t>
      </w:r>
      <w:proofErr w:type="gramEnd"/>
      <w:r w:rsidR="00EA5EBF" w:rsidRPr="007D0699">
        <w:rPr>
          <w:rFonts w:ascii="Times New Roman" w:eastAsia="Calibri" w:hAnsi="Times New Roman" w:cs="Times New Roman"/>
          <w:lang w:val="en-IE"/>
        </w:rPr>
        <w:t xml:space="preserve">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 xml:space="preserve">Health and </w:t>
      </w:r>
      <w:proofErr w:type="gramStart"/>
      <w:r w:rsidRPr="00164EDE">
        <w:rPr>
          <w:rFonts w:ascii="Times New Roman" w:hAnsi="Times New Roman" w:cs="Times New Roman"/>
          <w:color w:val="auto"/>
        </w:rPr>
        <w:t>Safety</w:t>
      </w:r>
      <w:r w:rsidR="00321F2A" w:rsidRPr="00164EDE">
        <w:rPr>
          <w:rFonts w:ascii="Times New Roman" w:hAnsi="Times New Roman" w:cs="Times New Roman"/>
          <w:color w:val="auto"/>
        </w:rPr>
        <w:t>(</w:t>
      </w:r>
      <w:proofErr w:type="gramEnd"/>
      <w:r w:rsidR="00321F2A" w:rsidRPr="00164EDE">
        <w:rPr>
          <w:rFonts w:ascii="Times New Roman" w:hAnsi="Times New Roman" w:cs="Times New Roman"/>
          <w:color w:val="auto"/>
        </w:rPr>
        <w:t>Amend if not applicable)</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1"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r w:rsidRPr="00164EDE">
        <w:rPr>
          <w:rFonts w:ascii="Times New Roman" w:hAnsi="Times New Roman" w:cs="Times New Roman"/>
          <w:color w:val="auto"/>
        </w:rPr>
        <w:t>(Amend if not applicable)</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1"/>
    </w:p>
    <w:p w:rsidR="007D0699" w:rsidRDefault="007D0699" w:rsidP="00553523">
      <w:pPr>
        <w:spacing w:after="0" w:line="240" w:lineRule="auto"/>
        <w:rPr>
          <w:rFonts w:ascii="Times New Roman" w:hAnsi="Times New Roman" w:cs="Times New Roman"/>
        </w:rPr>
      </w:pPr>
      <w:bookmarkStart w:id="42" w:name="_Toc195681215"/>
      <w:bookmarkStart w:id="43" w:name="_Toc195673935"/>
      <w:bookmarkStart w:id="44" w:name="_Toc195672590"/>
      <w:bookmarkStart w:id="45" w:name="_Toc191097903"/>
      <w:bookmarkStart w:id="46" w:name="_Toc391403807"/>
      <w:bookmarkStart w:id="47"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4"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5"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8" w:name="_Toc491591398"/>
      <w:r w:rsidRPr="007D0699">
        <w:rPr>
          <w:rFonts w:ascii="Times New Roman" w:hAnsi="Times New Roman" w:cs="Times New Roman"/>
        </w:rPr>
        <w:t>Withholding Tax</w:t>
      </w:r>
      <w:bookmarkEnd w:id="42"/>
      <w:bookmarkEnd w:id="43"/>
      <w:bookmarkEnd w:id="44"/>
      <w:bookmarkEnd w:id="45"/>
      <w:bookmarkEnd w:id="46"/>
      <w:bookmarkEnd w:id="48"/>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404"/>
      <w:r w:rsidRPr="007D0699">
        <w:rPr>
          <w:rFonts w:ascii="Times New Roman" w:hAnsi="Times New Roman" w:cs="Times New Roman"/>
        </w:rPr>
        <w:t>Responsibility of Successful Party</w:t>
      </w:r>
      <w:bookmarkEnd w:id="49"/>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391403811"/>
      <w:bookmarkStart w:id="51" w:name="_Toc491591401"/>
      <w:r w:rsidRPr="007D0699">
        <w:rPr>
          <w:rFonts w:ascii="Times New Roman" w:hAnsi="Times New Roman" w:cs="Times New Roman"/>
        </w:rPr>
        <w:t>Award to Runner-up</w:t>
      </w:r>
      <w:bookmarkEnd w:id="50"/>
      <w:bookmarkEnd w:id="51"/>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bookmarkEnd w:id="47"/>
    </w:p>
    <w:p w:rsidR="00135F10" w:rsidRDefault="00135F10" w:rsidP="00EA5EBF">
      <w:pPr>
        <w:spacing w:after="0" w:line="240" w:lineRule="auto"/>
        <w:rPr>
          <w:rFonts w:ascii="Arial" w:hAnsi="Arial" w:cs="Arial"/>
        </w:rPr>
      </w:pPr>
    </w:p>
    <w:p w:rsidR="00121072" w:rsidRDefault="00121072" w:rsidP="00C429AD">
      <w:pPr>
        <w:rPr>
          <w:rFonts w:ascii="Arial" w:hAnsi="Arial" w:cs="Arial"/>
          <w:b/>
          <w:sz w:val="24"/>
        </w:rPr>
      </w:pPr>
    </w:p>
    <w:p w:rsidR="00121072" w:rsidRDefault="00121072" w:rsidP="00C429AD">
      <w:pPr>
        <w:rPr>
          <w:rFonts w:ascii="Arial" w:hAnsi="Arial" w:cs="Arial"/>
          <w:b/>
          <w:sz w:val="24"/>
        </w:rPr>
      </w:pPr>
    </w:p>
    <w:p w:rsidR="00C429AD" w:rsidRDefault="00C429AD" w:rsidP="00C429AD">
      <w:pPr>
        <w:rPr>
          <w:rFonts w:ascii="Arial" w:hAnsi="Arial" w:cs="Arial"/>
          <w:b/>
          <w:sz w:val="24"/>
        </w:rPr>
      </w:pPr>
      <w:bookmarkStart w:id="52" w:name="_GoBack"/>
      <w:bookmarkEnd w:id="52"/>
      <w:r>
        <w:rPr>
          <w:rFonts w:ascii="Arial" w:hAnsi="Arial" w:cs="Arial"/>
          <w:b/>
          <w:sz w:val="24"/>
        </w:rPr>
        <w:lastRenderedPageBreak/>
        <w:t>Appendix 1 Specification</w:t>
      </w:r>
    </w:p>
    <w:p w:rsidR="00C429AD" w:rsidRDefault="00C771BB" w:rsidP="00C429AD">
      <w:pPr>
        <w:rPr>
          <w:rFonts w:ascii="Arial" w:hAnsi="Arial" w:cs="Arial"/>
          <w:b/>
          <w:sz w:val="24"/>
        </w:rPr>
      </w:pPr>
      <w:r>
        <w:rPr>
          <w:rFonts w:ascii="Arial" w:hAnsi="Arial" w:cs="Arial"/>
          <w:b/>
          <w:sz w:val="24"/>
        </w:rPr>
        <w:t xml:space="preserve">Visual </w:t>
      </w:r>
      <w:r w:rsidR="00C429AD">
        <w:rPr>
          <w:rFonts w:ascii="Arial" w:hAnsi="Arial" w:cs="Arial"/>
          <w:b/>
          <w:sz w:val="24"/>
        </w:rPr>
        <w:t>Artist</w:t>
      </w:r>
      <w:r>
        <w:rPr>
          <w:rFonts w:ascii="Arial" w:hAnsi="Arial" w:cs="Arial"/>
          <w:b/>
          <w:sz w:val="24"/>
        </w:rPr>
        <w:t>/Curator</w:t>
      </w:r>
      <w:r w:rsidR="00C429AD">
        <w:rPr>
          <w:rFonts w:ascii="Arial" w:hAnsi="Arial" w:cs="Arial"/>
          <w:b/>
          <w:sz w:val="24"/>
        </w:rPr>
        <w:t xml:space="preserve"> Facilitator to develop new work with community in Cavan</w:t>
      </w:r>
    </w:p>
    <w:p w:rsidR="00C429AD" w:rsidRDefault="00C429AD" w:rsidP="00C429AD">
      <w:pPr>
        <w:rPr>
          <w:rFonts w:ascii="Arial" w:hAnsi="Arial" w:cs="Arial"/>
          <w:sz w:val="24"/>
        </w:rPr>
      </w:pPr>
      <w:r>
        <w:rPr>
          <w:rFonts w:ascii="Arial" w:hAnsi="Arial" w:cs="Arial"/>
          <w:sz w:val="24"/>
        </w:rPr>
        <w:t>A</w:t>
      </w:r>
      <w:r w:rsidR="003C0EA8">
        <w:rPr>
          <w:rFonts w:ascii="Arial" w:hAnsi="Arial" w:cs="Arial"/>
          <w:sz w:val="24"/>
        </w:rPr>
        <w:t xml:space="preserve"> Visual Artist </w:t>
      </w:r>
      <w:r w:rsidR="00712343">
        <w:rPr>
          <w:rFonts w:ascii="Arial" w:hAnsi="Arial" w:cs="Arial"/>
          <w:sz w:val="24"/>
        </w:rPr>
        <w:t>/</w:t>
      </w:r>
      <w:r w:rsidR="003C0EA8">
        <w:rPr>
          <w:rFonts w:ascii="Arial" w:hAnsi="Arial" w:cs="Arial"/>
          <w:sz w:val="24"/>
        </w:rPr>
        <w:t xml:space="preserve"> Curator</w:t>
      </w:r>
      <w:r>
        <w:rPr>
          <w:rFonts w:ascii="Arial" w:hAnsi="Arial" w:cs="Arial"/>
          <w:sz w:val="24"/>
        </w:rPr>
        <w:t xml:space="preserve"> is required to provide a series of workshops to take place in conjunction with the re-opening of Townhall, Cavan.   These workshops will culminate in a showcase piece to celebrate the journey that the PEACE Programme in Cavan has achieved to date since the signing of the Good Friday Agreement.   </w:t>
      </w:r>
      <w:r w:rsidR="003C0EA8">
        <w:rPr>
          <w:rFonts w:ascii="Arial" w:hAnsi="Arial" w:cs="Arial"/>
          <w:sz w:val="24"/>
        </w:rPr>
        <w:t>Visual Artist / Curators</w:t>
      </w:r>
      <w:r>
        <w:rPr>
          <w:rFonts w:ascii="Arial" w:hAnsi="Arial" w:cs="Arial"/>
          <w:sz w:val="24"/>
        </w:rPr>
        <w:t xml:space="preserve"> are expected to deliver innovative and contemporary work with local community participants.   This will be delivered through a programme designed by the </w:t>
      </w:r>
      <w:r w:rsidR="003C0EA8">
        <w:rPr>
          <w:rFonts w:ascii="Arial" w:hAnsi="Arial" w:cs="Arial"/>
          <w:sz w:val="24"/>
        </w:rPr>
        <w:t>Visual Artist / Curator F</w:t>
      </w:r>
      <w:r>
        <w:rPr>
          <w:rFonts w:ascii="Arial" w:hAnsi="Arial" w:cs="Arial"/>
          <w:sz w:val="24"/>
        </w:rPr>
        <w:t xml:space="preserve">acilitator to provide 26 contact hours with participants. The theme to be explored in this new work of art is to examine the legacy of Peace in our border area and the wider positive implications for cultural, social and economic stability in this area and the wider country.   </w:t>
      </w:r>
    </w:p>
    <w:p w:rsidR="00C429AD" w:rsidRDefault="00C429AD" w:rsidP="00C429AD">
      <w:pPr>
        <w:rPr>
          <w:rFonts w:ascii="Arial" w:hAnsi="Arial" w:cs="Arial"/>
          <w:sz w:val="24"/>
        </w:rPr>
      </w:pPr>
      <w:r>
        <w:rPr>
          <w:rFonts w:ascii="Arial" w:hAnsi="Arial" w:cs="Arial"/>
          <w:sz w:val="24"/>
        </w:rPr>
        <w:t xml:space="preserve">The </w:t>
      </w:r>
      <w:r w:rsidR="003C0EA8">
        <w:rPr>
          <w:rFonts w:ascii="Arial" w:hAnsi="Arial" w:cs="Arial"/>
          <w:sz w:val="24"/>
        </w:rPr>
        <w:t xml:space="preserve">Visual Artist / Curator </w:t>
      </w:r>
      <w:r>
        <w:rPr>
          <w:rFonts w:ascii="Arial" w:hAnsi="Arial" w:cs="Arial"/>
          <w:sz w:val="24"/>
        </w:rPr>
        <w:t>is required to work with a minimum of 15 participants during the 26 contact hours and additional showcase time if appropriate.</w:t>
      </w:r>
    </w:p>
    <w:p w:rsidR="00C429AD" w:rsidRDefault="00C429AD" w:rsidP="00C429AD">
      <w:pPr>
        <w:rPr>
          <w:rFonts w:ascii="Arial" w:hAnsi="Arial" w:cs="Arial"/>
          <w:sz w:val="24"/>
        </w:rPr>
      </w:pPr>
      <w:r>
        <w:rPr>
          <w:rFonts w:ascii="Arial" w:hAnsi="Arial" w:cs="Arial"/>
          <w:sz w:val="24"/>
        </w:rPr>
        <w:t xml:space="preserve">This commission will be will completed to coincide with the refurbishment of Townhall, Cavan and showcased in July 2019 against the backdrop of the re-opening of this historic building.  The showcase will arise from a process-based project with the </w:t>
      </w:r>
      <w:r w:rsidR="003C0EA8">
        <w:rPr>
          <w:rFonts w:ascii="Arial" w:hAnsi="Arial" w:cs="Arial"/>
          <w:sz w:val="24"/>
        </w:rPr>
        <w:t xml:space="preserve">Visual Artist / Curator </w:t>
      </w:r>
      <w:r>
        <w:rPr>
          <w:rFonts w:ascii="Arial" w:hAnsi="Arial" w:cs="Arial"/>
          <w:sz w:val="24"/>
        </w:rPr>
        <w:t>leading local participants in a journey through arts practice.</w:t>
      </w:r>
    </w:p>
    <w:p w:rsidR="00DC15B0" w:rsidRPr="00847B0E" w:rsidRDefault="00C429AD" w:rsidP="00C429AD">
      <w:pPr>
        <w:rPr>
          <w:rFonts w:ascii="Arial" w:hAnsi="Arial" w:cs="Arial"/>
          <w:b/>
          <w:sz w:val="24"/>
        </w:rPr>
      </w:pPr>
      <w:r w:rsidRPr="00847B0E">
        <w:rPr>
          <w:rFonts w:ascii="Arial" w:hAnsi="Arial" w:cs="Arial"/>
          <w:b/>
          <w:sz w:val="24"/>
        </w:rPr>
        <w:t>Invitations are sought from</w:t>
      </w:r>
      <w:r w:rsidR="00C771BB">
        <w:rPr>
          <w:rFonts w:ascii="Arial" w:hAnsi="Arial" w:cs="Arial"/>
          <w:b/>
          <w:sz w:val="24"/>
        </w:rPr>
        <w:t xml:space="preserve"> visual artist/curator.</w:t>
      </w:r>
      <w:r w:rsidRPr="00847B0E">
        <w:rPr>
          <w:rFonts w:ascii="Arial" w:hAnsi="Arial" w:cs="Arial"/>
          <w:b/>
          <w:sz w:val="24"/>
        </w:rPr>
        <w:t xml:space="preserve">   </w:t>
      </w:r>
    </w:p>
    <w:p w:rsidR="00C429AD" w:rsidRDefault="00C429AD" w:rsidP="00C429AD">
      <w:pPr>
        <w:rPr>
          <w:rFonts w:ascii="Arial" w:hAnsi="Arial" w:cs="Arial"/>
          <w:b/>
          <w:sz w:val="24"/>
        </w:rPr>
      </w:pPr>
      <w:r>
        <w:rPr>
          <w:rFonts w:ascii="Arial" w:hAnsi="Arial" w:cs="Arial"/>
          <w:b/>
          <w:sz w:val="24"/>
        </w:rPr>
        <w:t>Budget</w:t>
      </w:r>
    </w:p>
    <w:p w:rsidR="00C429AD" w:rsidRDefault="00C429AD" w:rsidP="00C429AD">
      <w:pPr>
        <w:rPr>
          <w:rFonts w:ascii="Arial" w:hAnsi="Arial" w:cs="Arial"/>
          <w:sz w:val="24"/>
        </w:rPr>
      </w:pPr>
      <w:r>
        <w:rPr>
          <w:rFonts w:ascii="Arial" w:hAnsi="Arial" w:cs="Arial"/>
          <w:sz w:val="24"/>
        </w:rPr>
        <w:t>The overall budget will not exceed €</w:t>
      </w:r>
      <w:r w:rsidR="00C771BB">
        <w:rPr>
          <w:rFonts w:ascii="Arial" w:hAnsi="Arial" w:cs="Arial"/>
          <w:sz w:val="24"/>
        </w:rPr>
        <w:t>6</w:t>
      </w:r>
      <w:r>
        <w:rPr>
          <w:rFonts w:ascii="Arial" w:hAnsi="Arial" w:cs="Arial"/>
          <w:sz w:val="24"/>
        </w:rPr>
        <w:t>,</w:t>
      </w:r>
      <w:r w:rsidR="00C771BB">
        <w:rPr>
          <w:rFonts w:ascii="Arial" w:hAnsi="Arial" w:cs="Arial"/>
          <w:sz w:val="24"/>
        </w:rPr>
        <w:t>3</w:t>
      </w:r>
      <w:r>
        <w:rPr>
          <w:rFonts w:ascii="Arial" w:hAnsi="Arial" w:cs="Arial"/>
          <w:sz w:val="24"/>
        </w:rPr>
        <w:t>00.</w:t>
      </w:r>
    </w:p>
    <w:p w:rsidR="00C429AD" w:rsidRDefault="00C429AD" w:rsidP="00C429AD">
      <w:pPr>
        <w:rPr>
          <w:rFonts w:ascii="Arial" w:hAnsi="Arial" w:cs="Arial"/>
          <w:b/>
          <w:sz w:val="24"/>
        </w:rPr>
      </w:pPr>
      <w:r>
        <w:rPr>
          <w:rFonts w:ascii="Arial" w:hAnsi="Arial" w:cs="Arial"/>
          <w:b/>
          <w:sz w:val="24"/>
        </w:rPr>
        <w:t>Technical and Material Costs</w:t>
      </w:r>
    </w:p>
    <w:p w:rsidR="0056613E" w:rsidRDefault="00C429AD" w:rsidP="0056613E">
      <w:pPr>
        <w:rPr>
          <w:rFonts w:ascii="Arial" w:hAnsi="Arial" w:cs="Arial"/>
          <w:b/>
          <w:sz w:val="24"/>
        </w:rPr>
      </w:pPr>
      <w:r>
        <w:rPr>
          <w:rFonts w:ascii="Arial" w:hAnsi="Arial" w:cs="Arial"/>
          <w:sz w:val="24"/>
        </w:rPr>
        <w:t xml:space="preserve">All technical and material costs are to be identified by the </w:t>
      </w:r>
      <w:r w:rsidR="00732686">
        <w:rPr>
          <w:rFonts w:ascii="Arial" w:hAnsi="Arial" w:cs="Arial"/>
          <w:sz w:val="24"/>
        </w:rPr>
        <w:t xml:space="preserve">Visual Artist / Curator </w:t>
      </w:r>
      <w:r>
        <w:rPr>
          <w:rFonts w:ascii="Arial" w:hAnsi="Arial" w:cs="Arial"/>
          <w:sz w:val="24"/>
        </w:rPr>
        <w:t>and the successful candidates will be required to secure value for money on a best price basis.</w:t>
      </w:r>
      <w:r w:rsidR="0056613E" w:rsidRPr="0056613E">
        <w:rPr>
          <w:rFonts w:ascii="Arial" w:hAnsi="Arial" w:cs="Arial"/>
          <w:b/>
          <w:sz w:val="24"/>
        </w:rPr>
        <w:t xml:space="preserve"> </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March and July 2019.                              </w:t>
      </w:r>
    </w:p>
    <w:p w:rsidR="00C429AD" w:rsidRDefault="00C429AD" w:rsidP="00C429AD">
      <w:pPr>
        <w:rPr>
          <w:rFonts w:ascii="Arial" w:hAnsi="Arial" w:cs="Arial"/>
          <w:sz w:val="24"/>
        </w:rPr>
      </w:pPr>
    </w:p>
    <w:p w:rsidR="0056613E" w:rsidRDefault="0056613E" w:rsidP="00C429AD">
      <w:pPr>
        <w:rPr>
          <w:rFonts w:ascii="Arial" w:hAnsi="Arial" w:cs="Arial"/>
          <w:b/>
          <w:sz w:val="24"/>
        </w:rPr>
      </w:pPr>
      <w:r>
        <w:rPr>
          <w:rFonts w:ascii="Arial" w:hAnsi="Arial" w:cs="Arial"/>
          <w:noProof/>
          <w:sz w:val="24"/>
        </w:rPr>
        <w:t xml:space="preserve">                                  </w:t>
      </w:r>
    </w:p>
    <w:p w:rsidR="00F34AFA" w:rsidRDefault="00F34AFA" w:rsidP="00F34AFA">
      <w:r w:rsidRPr="00843F3E">
        <w:rPr>
          <w:noProof/>
          <w:lang w:eastAsia="en-IE"/>
        </w:rPr>
        <w:drawing>
          <wp:inline distT="0" distB="0" distL="0" distR="0" wp14:anchorId="4171182A" wp14:editId="2AB8ECFC">
            <wp:extent cx="1847850" cy="1144641"/>
            <wp:effectExtent l="19050" t="0" r="0" b="0"/>
            <wp:docPr id="2" name="Picture 1" descr="Peace_Logo_withERDF"/>
            <wp:cNvGraphicFramePr/>
            <a:graphic xmlns:a="http://schemas.openxmlformats.org/drawingml/2006/main">
              <a:graphicData uri="http://schemas.openxmlformats.org/drawingml/2006/picture">
                <pic:pic xmlns:pic="http://schemas.openxmlformats.org/drawingml/2006/picture">
                  <pic:nvPicPr>
                    <pic:cNvPr id="4" name="Picture 3" descr="Peace_Logo_withERDF"/>
                    <pic:cNvPicPr/>
                  </pic:nvPicPr>
                  <pic:blipFill>
                    <a:blip r:embed="rId16" cstate="print"/>
                    <a:srcRect/>
                    <a:stretch>
                      <a:fillRect/>
                    </a:stretch>
                  </pic:blipFill>
                  <pic:spPr bwMode="auto">
                    <a:xfrm>
                      <a:off x="0" y="0"/>
                      <a:ext cx="1847850" cy="1144641"/>
                    </a:xfrm>
                    <a:prstGeom prst="rect">
                      <a:avLst/>
                    </a:prstGeom>
                    <a:noFill/>
                    <a:ln w="9525">
                      <a:noFill/>
                      <a:miter lim="800000"/>
                      <a:headEnd/>
                      <a:tailEnd/>
                    </a:ln>
                  </pic:spPr>
                </pic:pic>
              </a:graphicData>
            </a:graphic>
          </wp:inline>
        </w:drawing>
      </w:r>
      <w:r>
        <w:t xml:space="preserve">          </w:t>
      </w:r>
      <w:r w:rsidRPr="00843F3E">
        <w:rPr>
          <w:noProof/>
          <w:lang w:eastAsia="en-IE"/>
        </w:rPr>
        <w:drawing>
          <wp:inline distT="0" distB="0" distL="0" distR="0" wp14:anchorId="13683E57" wp14:editId="212C4B53">
            <wp:extent cx="923925" cy="979920"/>
            <wp:effectExtent l="19050" t="0" r="9525" b="0"/>
            <wp:docPr id="4" name="Picture 2"/>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7" cstate="print"/>
                    <a:srcRect/>
                    <a:stretch>
                      <a:fillRect/>
                    </a:stretch>
                  </pic:blipFill>
                  <pic:spPr bwMode="auto">
                    <a:xfrm>
                      <a:off x="0" y="0"/>
                      <a:ext cx="923925" cy="979920"/>
                    </a:xfrm>
                    <a:prstGeom prst="rect">
                      <a:avLst/>
                    </a:prstGeom>
                    <a:noFill/>
                    <a:ln w="9525">
                      <a:noFill/>
                      <a:miter lim="800000"/>
                      <a:headEnd/>
                      <a:tailEnd/>
                    </a:ln>
                  </pic:spPr>
                </pic:pic>
              </a:graphicData>
            </a:graphic>
          </wp:inline>
        </w:drawing>
      </w:r>
      <w:r>
        <w:t xml:space="preserve">                 </w:t>
      </w:r>
      <w:r w:rsidRPr="00FF268C">
        <w:rPr>
          <w:noProof/>
          <w:lang w:eastAsia="en-IE"/>
        </w:rPr>
        <w:drawing>
          <wp:inline distT="0" distB="0" distL="0" distR="0" wp14:anchorId="3B528013" wp14:editId="67083955">
            <wp:extent cx="1661729" cy="1142100"/>
            <wp:effectExtent l="19050" t="0" r="0" b="0"/>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cstate="print"/>
                    <a:srcRect/>
                    <a:stretch>
                      <a:fillRect/>
                    </a:stretch>
                  </pic:blipFill>
                  <pic:spPr bwMode="auto">
                    <a:xfrm>
                      <a:off x="0" y="0"/>
                      <a:ext cx="1660851" cy="1141497"/>
                    </a:xfrm>
                    <a:prstGeom prst="rect">
                      <a:avLst/>
                    </a:prstGeom>
                    <a:noFill/>
                    <a:ln w="9525">
                      <a:noFill/>
                      <a:miter lim="800000"/>
                      <a:headEnd/>
                      <a:tailEnd/>
                    </a:ln>
                  </pic:spPr>
                </pic:pic>
              </a:graphicData>
            </a:graphic>
          </wp:inline>
        </w:drawing>
      </w:r>
      <w:r>
        <w:t xml:space="preserve">                                     </w:t>
      </w:r>
    </w:p>
    <w:p w:rsidR="00F34AFA" w:rsidRDefault="00F34AFA" w:rsidP="00F34AFA">
      <w:pPr>
        <w:rPr>
          <w:b/>
          <w:bCs/>
          <w:i/>
          <w:iCs/>
        </w:rPr>
      </w:pPr>
      <w:r w:rsidRPr="00843F3E">
        <w:rPr>
          <w:b/>
          <w:bCs/>
          <w:i/>
          <w:iCs/>
        </w:rPr>
        <w:t xml:space="preserve">This project </w:t>
      </w:r>
      <w:r>
        <w:rPr>
          <w:b/>
          <w:bCs/>
          <w:i/>
          <w:iCs/>
        </w:rPr>
        <w:t>has been</w:t>
      </w:r>
      <w:r w:rsidRPr="00B575D7">
        <w:rPr>
          <w:b/>
          <w:bCs/>
          <w:i/>
          <w:iCs/>
        </w:rPr>
        <w:t xml:space="preserve"> </w:t>
      </w:r>
      <w:r w:rsidRPr="00843F3E">
        <w:rPr>
          <w:b/>
          <w:bCs/>
          <w:i/>
          <w:iCs/>
        </w:rPr>
        <w:t>supported by the EU’s PEACE IV Programme, managed by the</w:t>
      </w:r>
      <w:r>
        <w:rPr>
          <w:b/>
          <w:bCs/>
          <w:i/>
          <w:iCs/>
        </w:rPr>
        <w:t xml:space="preserve"> SEUPB</w:t>
      </w:r>
      <w:r w:rsidRPr="00843F3E">
        <w:rPr>
          <w:b/>
          <w:bCs/>
          <w:i/>
          <w:iCs/>
        </w:rPr>
        <w:t>.</w:t>
      </w:r>
    </w:p>
    <w:p w:rsidR="00C429AD" w:rsidRPr="00946DB4" w:rsidRDefault="00F34AFA" w:rsidP="00EA5EBF">
      <w:pPr>
        <w:spacing w:after="0" w:line="240" w:lineRule="auto"/>
        <w:rPr>
          <w:rFonts w:ascii="Arial" w:hAnsi="Arial" w:cs="Arial"/>
        </w:rPr>
      </w:pPr>
      <w:r w:rsidRPr="001954C5">
        <w:rPr>
          <w:noProof/>
        </w:rPr>
        <w:drawing>
          <wp:inline distT="0" distB="0" distL="0" distR="0" wp14:anchorId="78B26A64" wp14:editId="6FA86A39">
            <wp:extent cx="2376264" cy="1240532"/>
            <wp:effectExtent l="19050" t="0" r="4986" b="0"/>
            <wp:docPr id="7" name="Picture 7" descr="g4144"/>
            <wp:cNvGraphicFramePr/>
            <a:graphic xmlns:a="http://schemas.openxmlformats.org/drawingml/2006/main">
              <a:graphicData uri="http://schemas.openxmlformats.org/drawingml/2006/picture">
                <pic:pic xmlns:pic="http://schemas.openxmlformats.org/drawingml/2006/picture">
                  <pic:nvPicPr>
                    <pic:cNvPr id="1027" name="Picture 3" descr="g4144"/>
                    <pic:cNvPicPr>
                      <a:picLocks noChangeAspect="1" noChangeArrowheads="1"/>
                    </pic:cNvPicPr>
                  </pic:nvPicPr>
                  <pic:blipFill>
                    <a:blip r:embed="rId19" cstate="print"/>
                    <a:srcRect/>
                    <a:stretch>
                      <a:fillRect/>
                    </a:stretch>
                  </pic:blipFill>
                  <pic:spPr bwMode="auto">
                    <a:xfrm>
                      <a:off x="0" y="0"/>
                      <a:ext cx="2376264" cy="1240532"/>
                    </a:xfrm>
                    <a:prstGeom prst="rect">
                      <a:avLst/>
                    </a:prstGeom>
                    <a:noFill/>
                    <a:ln w="9525">
                      <a:noFill/>
                      <a:miter lim="800000"/>
                      <a:headEnd/>
                      <a:tailEnd/>
                    </a:ln>
                  </pic:spPr>
                </pic:pic>
              </a:graphicData>
            </a:graphic>
          </wp:inline>
        </w:drawing>
      </w:r>
    </w:p>
    <w:sectPr w:rsidR="00C429AD" w:rsidRPr="00946DB4" w:rsidSect="00EA5EBF">
      <w:footerReference w:type="default" r:id="rId20"/>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B8" w:rsidRDefault="00B455B8" w:rsidP="0080060F">
      <w:pPr>
        <w:spacing w:after="0" w:line="240" w:lineRule="auto"/>
      </w:pPr>
      <w:r>
        <w:separator/>
      </w:r>
    </w:p>
  </w:endnote>
  <w:endnote w:type="continuationSeparator" w:id="0">
    <w:p w:rsidR="00B455B8" w:rsidRDefault="00B455B8"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721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B8" w:rsidRDefault="00B455B8" w:rsidP="0080060F">
      <w:pPr>
        <w:spacing w:after="0" w:line="240" w:lineRule="auto"/>
      </w:pPr>
      <w:r>
        <w:separator/>
      </w:r>
    </w:p>
  </w:footnote>
  <w:footnote w:type="continuationSeparator" w:id="0">
    <w:p w:rsidR="00B455B8" w:rsidRDefault="00B455B8"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8"/>
  </w:num>
  <w:num w:numId="5">
    <w:abstractNumId w:val="0"/>
  </w:num>
  <w:num w:numId="6">
    <w:abstractNumId w:val="1"/>
  </w:num>
  <w:num w:numId="7">
    <w:abstractNumId w:val="12"/>
  </w:num>
  <w:num w:numId="8">
    <w:abstractNumId w:val="19"/>
  </w:num>
  <w:num w:numId="9">
    <w:abstractNumId w:val="5"/>
  </w:num>
  <w:num w:numId="10">
    <w:abstractNumId w:val="6"/>
  </w:num>
  <w:num w:numId="11">
    <w:abstractNumId w:val="3"/>
  </w:num>
  <w:num w:numId="12">
    <w:abstractNumId w:val="9"/>
  </w:num>
  <w:num w:numId="13">
    <w:abstractNumId w:val="18"/>
  </w:num>
  <w:num w:numId="14">
    <w:abstractNumId w:val="4"/>
  </w:num>
  <w:num w:numId="15">
    <w:abstractNumId w:val="17"/>
  </w:num>
  <w:num w:numId="16">
    <w:abstractNumId w:val="14"/>
  </w:num>
  <w:num w:numId="17">
    <w:abstractNumId w:val="11"/>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C539D"/>
    <w:rsid w:val="00121072"/>
    <w:rsid w:val="00133ADC"/>
    <w:rsid w:val="0013477C"/>
    <w:rsid w:val="00135F10"/>
    <w:rsid w:val="00164EDE"/>
    <w:rsid w:val="00196E96"/>
    <w:rsid w:val="001A0F9C"/>
    <w:rsid w:val="001C4375"/>
    <w:rsid w:val="001D6FB4"/>
    <w:rsid w:val="001F21E5"/>
    <w:rsid w:val="002160C8"/>
    <w:rsid w:val="00250D86"/>
    <w:rsid w:val="00296C99"/>
    <w:rsid w:val="002B0415"/>
    <w:rsid w:val="002B244E"/>
    <w:rsid w:val="00321F2A"/>
    <w:rsid w:val="003239FE"/>
    <w:rsid w:val="00355D7C"/>
    <w:rsid w:val="003B5402"/>
    <w:rsid w:val="003C0EA8"/>
    <w:rsid w:val="003D3031"/>
    <w:rsid w:val="004944D5"/>
    <w:rsid w:val="004B6032"/>
    <w:rsid w:val="004E6938"/>
    <w:rsid w:val="00553523"/>
    <w:rsid w:val="0056613E"/>
    <w:rsid w:val="005B3ED2"/>
    <w:rsid w:val="005F071C"/>
    <w:rsid w:val="00605D27"/>
    <w:rsid w:val="00623777"/>
    <w:rsid w:val="006257D1"/>
    <w:rsid w:val="006629F9"/>
    <w:rsid w:val="00663FF7"/>
    <w:rsid w:val="006A1B47"/>
    <w:rsid w:val="006B5D0D"/>
    <w:rsid w:val="006C52DF"/>
    <w:rsid w:val="00712343"/>
    <w:rsid w:val="00732686"/>
    <w:rsid w:val="00760100"/>
    <w:rsid w:val="00764BBE"/>
    <w:rsid w:val="007A27C0"/>
    <w:rsid w:val="007B24F0"/>
    <w:rsid w:val="007D0699"/>
    <w:rsid w:val="007F24C3"/>
    <w:rsid w:val="0080060F"/>
    <w:rsid w:val="00807EE2"/>
    <w:rsid w:val="008163E7"/>
    <w:rsid w:val="008336DB"/>
    <w:rsid w:val="008438F1"/>
    <w:rsid w:val="00847B0E"/>
    <w:rsid w:val="008746A9"/>
    <w:rsid w:val="00876CFD"/>
    <w:rsid w:val="008E37E4"/>
    <w:rsid w:val="0092378D"/>
    <w:rsid w:val="00946DB4"/>
    <w:rsid w:val="009C29F0"/>
    <w:rsid w:val="009F3DDE"/>
    <w:rsid w:val="00A86597"/>
    <w:rsid w:val="00A97FEA"/>
    <w:rsid w:val="00AC3C10"/>
    <w:rsid w:val="00B01FBF"/>
    <w:rsid w:val="00B104DE"/>
    <w:rsid w:val="00B455B8"/>
    <w:rsid w:val="00B63C84"/>
    <w:rsid w:val="00B873E2"/>
    <w:rsid w:val="00B9223F"/>
    <w:rsid w:val="00BB2344"/>
    <w:rsid w:val="00BF0605"/>
    <w:rsid w:val="00C10883"/>
    <w:rsid w:val="00C24C42"/>
    <w:rsid w:val="00C27361"/>
    <w:rsid w:val="00C3235A"/>
    <w:rsid w:val="00C429AD"/>
    <w:rsid w:val="00C771BB"/>
    <w:rsid w:val="00C83129"/>
    <w:rsid w:val="00CC1671"/>
    <w:rsid w:val="00CD2C09"/>
    <w:rsid w:val="00D37D6B"/>
    <w:rsid w:val="00D5788D"/>
    <w:rsid w:val="00D72683"/>
    <w:rsid w:val="00D839A1"/>
    <w:rsid w:val="00D84896"/>
    <w:rsid w:val="00D95F00"/>
    <w:rsid w:val="00DB29DB"/>
    <w:rsid w:val="00DC15B0"/>
    <w:rsid w:val="00DC1E76"/>
    <w:rsid w:val="00DC4F81"/>
    <w:rsid w:val="00E53C95"/>
    <w:rsid w:val="00E83AED"/>
    <w:rsid w:val="00EA5EBF"/>
    <w:rsid w:val="00EB06DC"/>
    <w:rsid w:val="00EB2581"/>
    <w:rsid w:val="00F2289A"/>
    <w:rsid w:val="00F27C05"/>
    <w:rsid w:val="00F34AFA"/>
    <w:rsid w:val="00F850B7"/>
    <w:rsid w:val="00F92705"/>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7731"/>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sgrove@cavancoco.i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cosgrove@cavancoco.i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yperlink" Target="mailto:nonrestaxclearance@revenue.ie" TargetMode="External"/><Relationship Id="rId10" Type="http://schemas.openxmlformats.org/officeDocument/2006/relationships/image" Target="media/image10.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evenu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9668-C968-41E6-A55D-32935E6B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Borland</dc:creator>
  <cp:lastModifiedBy>Catriona  O'Reilly</cp:lastModifiedBy>
  <cp:revision>2</cp:revision>
  <cp:lastPrinted>2018-07-12T16:42:00Z</cp:lastPrinted>
  <dcterms:created xsi:type="dcterms:W3CDTF">2019-03-12T14:11:00Z</dcterms:created>
  <dcterms:modified xsi:type="dcterms:W3CDTF">2019-03-12T14:11:00Z</dcterms:modified>
</cp:coreProperties>
</file>